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7DC55" w14:textId="77777777" w:rsidR="006836EA" w:rsidRDefault="006836EA" w:rsidP="007B031C">
      <w:pPr>
        <w:rPr>
          <w:lang w:val="en-US"/>
        </w:rPr>
      </w:pPr>
    </w:p>
    <w:p w14:paraId="72D95184" w14:textId="040A297A" w:rsidR="008E02FF" w:rsidRPr="000A57E7" w:rsidRDefault="007B031C" w:rsidP="000A57E7">
      <w:pPr>
        <w:rPr>
          <w:lang w:val="en-US"/>
        </w:rPr>
      </w:pPr>
      <w:r w:rsidRPr="00663DB9">
        <w:rPr>
          <w:b/>
          <w:bCs/>
        </w:rPr>
        <w:t xml:space="preserve">FOR IMMEDIATE RELEASE   </w:t>
      </w:r>
      <w:r w:rsidRPr="00663DB9">
        <w:rPr>
          <w:b/>
          <w:bCs/>
        </w:rPr>
        <w:tab/>
      </w:r>
      <w:r w:rsidRPr="00663DB9">
        <w:rPr>
          <w:b/>
          <w:bCs/>
        </w:rPr>
        <w:tab/>
      </w:r>
      <w:r w:rsidRPr="00663DB9">
        <w:rPr>
          <w:b/>
          <w:bCs/>
        </w:rPr>
        <w:tab/>
      </w:r>
      <w:r w:rsidRPr="00663DB9">
        <w:rPr>
          <w:b/>
          <w:bCs/>
        </w:rPr>
        <w:tab/>
      </w:r>
      <w:r w:rsidRPr="00663DB9">
        <w:rPr>
          <w:b/>
          <w:bCs/>
        </w:rPr>
        <w:tab/>
      </w:r>
      <w:r w:rsidRPr="00663DB9">
        <w:rPr>
          <w:b/>
          <w:bCs/>
        </w:rPr>
        <w:tab/>
      </w:r>
      <w:r w:rsidRPr="00663DB9">
        <w:rPr>
          <w:b/>
          <w:bCs/>
        </w:rPr>
        <w:tab/>
      </w:r>
      <w:r w:rsidRPr="00663DB9">
        <w:rPr>
          <w:b/>
          <w:bCs/>
        </w:rPr>
        <w:tab/>
      </w:r>
      <w:r w:rsidR="00E82835">
        <w:rPr>
          <w:b/>
          <w:bCs/>
        </w:rPr>
        <w:t>3</w:t>
      </w:r>
      <w:r w:rsidRPr="00663DB9">
        <w:rPr>
          <w:b/>
          <w:bCs/>
        </w:rPr>
        <w:t xml:space="preserve"> </w:t>
      </w:r>
      <w:r w:rsidR="00E82835">
        <w:rPr>
          <w:b/>
          <w:bCs/>
        </w:rPr>
        <w:t>May</w:t>
      </w:r>
      <w:r w:rsidRPr="00663DB9">
        <w:rPr>
          <w:b/>
          <w:bCs/>
        </w:rPr>
        <w:t xml:space="preserve"> 2021</w:t>
      </w:r>
    </w:p>
    <w:p w14:paraId="449ED4F6" w14:textId="77777777" w:rsidR="000A57E7" w:rsidRDefault="000A57E7" w:rsidP="007B031C">
      <w:pPr>
        <w:jc w:val="center"/>
        <w:rPr>
          <w:b/>
          <w:bCs/>
          <w:sz w:val="24"/>
          <w:szCs w:val="24"/>
        </w:rPr>
      </w:pPr>
    </w:p>
    <w:p w14:paraId="0EEF3B12" w14:textId="47544F0A" w:rsidR="007B031C" w:rsidRPr="00663DB9" w:rsidRDefault="00D72DB0" w:rsidP="007B031C">
      <w:pPr>
        <w:jc w:val="center"/>
        <w:rPr>
          <w:b/>
          <w:bCs/>
          <w:sz w:val="24"/>
          <w:szCs w:val="24"/>
        </w:rPr>
      </w:pPr>
      <w:r>
        <w:rPr>
          <w:b/>
          <w:bCs/>
          <w:sz w:val="24"/>
          <w:szCs w:val="24"/>
        </w:rPr>
        <w:t>5</w:t>
      </w:r>
      <w:r w:rsidR="009A7BD1" w:rsidRPr="00663DB9">
        <w:rPr>
          <w:b/>
          <w:bCs/>
          <w:sz w:val="24"/>
          <w:szCs w:val="24"/>
        </w:rPr>
        <w:t xml:space="preserve"> </w:t>
      </w:r>
      <w:r w:rsidR="007B031C" w:rsidRPr="00663DB9">
        <w:rPr>
          <w:b/>
          <w:bCs/>
          <w:sz w:val="24"/>
          <w:szCs w:val="24"/>
        </w:rPr>
        <w:t xml:space="preserve">HIDDEN </w:t>
      </w:r>
      <w:r w:rsidR="008E02FF">
        <w:rPr>
          <w:b/>
          <w:bCs/>
          <w:sz w:val="24"/>
          <w:szCs w:val="24"/>
        </w:rPr>
        <w:t>TAX</w:t>
      </w:r>
      <w:r w:rsidR="008E02FF" w:rsidRPr="00663DB9">
        <w:rPr>
          <w:b/>
          <w:bCs/>
          <w:sz w:val="24"/>
          <w:szCs w:val="24"/>
        </w:rPr>
        <w:t xml:space="preserve"> </w:t>
      </w:r>
      <w:r w:rsidR="007B031C" w:rsidRPr="00663DB9">
        <w:rPr>
          <w:b/>
          <w:bCs/>
          <w:sz w:val="24"/>
          <w:szCs w:val="24"/>
        </w:rPr>
        <w:t xml:space="preserve">DEDUCTIONS WORTH </w:t>
      </w:r>
      <w:r w:rsidR="00983EF9">
        <w:rPr>
          <w:b/>
          <w:bCs/>
          <w:sz w:val="24"/>
          <w:szCs w:val="24"/>
        </w:rPr>
        <w:t>ALMOST $60,000</w:t>
      </w:r>
    </w:p>
    <w:p w14:paraId="25D3B9B2" w14:textId="5EAD62FA" w:rsidR="0038539C" w:rsidRDefault="0038539C">
      <w:r>
        <w:t xml:space="preserve">Investment properties </w:t>
      </w:r>
      <w:r w:rsidR="008E02FF">
        <w:t>often</w:t>
      </w:r>
      <w:r>
        <w:t xml:space="preserve"> contain tens of thousands of </w:t>
      </w:r>
      <w:r w:rsidR="008E02FF">
        <w:t xml:space="preserve">dollars’ worth of </w:t>
      </w:r>
      <w:r>
        <w:t xml:space="preserve">tax deductions </w:t>
      </w:r>
      <w:r w:rsidR="008E02FF">
        <w:t>that only a trained eye would detect, according to</w:t>
      </w:r>
      <w:r>
        <w:t xml:space="preserve"> Australia’s leading provider of tax depreciation schedules. </w:t>
      </w:r>
    </w:p>
    <w:p w14:paraId="6F71CCA0" w14:textId="2D56E0DC" w:rsidR="009D6178" w:rsidRDefault="00BF490B">
      <w:r>
        <w:t xml:space="preserve">Tax depreciation is the natural wear and tear of property and assets. It’s one of the highest tax deductions available to property investors who can claim it for up to forty years. </w:t>
      </w:r>
    </w:p>
    <w:p w14:paraId="055A2D41" w14:textId="3987BA21" w:rsidR="009D6178" w:rsidRDefault="009D6178">
      <w:r>
        <w:t xml:space="preserve">BMT Tax Depreciation CEO, Bradley Beer, </w:t>
      </w:r>
      <w:r w:rsidR="00716A89">
        <w:t>said</w:t>
      </w:r>
      <w:r>
        <w:t xml:space="preserve"> that tax deductions can be concealed behind walls, in ceilings, under floors and on </w:t>
      </w:r>
      <w:r w:rsidR="00716A89">
        <w:t>rooves</w:t>
      </w:r>
      <w:r>
        <w:t>.</w:t>
      </w:r>
      <w:r w:rsidR="00831F58">
        <w:t xml:space="preserve"> The combined value of these deductions can reach </w:t>
      </w:r>
      <w:r w:rsidR="00E1721A">
        <w:t>tens of thousands of dollars</w:t>
      </w:r>
      <w:r w:rsidR="00831F58">
        <w:t xml:space="preserve"> </w:t>
      </w:r>
      <w:r w:rsidR="005B0413">
        <w:t xml:space="preserve">over their lifetimes </w:t>
      </w:r>
      <w:r w:rsidR="00831F58">
        <w:t xml:space="preserve">and make a significant difference to a property investor’s bottom line. </w:t>
      </w:r>
    </w:p>
    <w:p w14:paraId="56BAB54A" w14:textId="3486C06E" w:rsidR="009D6178" w:rsidRDefault="004C2B99">
      <w:r>
        <w:t>Bradley Beer said that</w:t>
      </w:r>
      <w:r w:rsidR="003808C4">
        <w:t xml:space="preserve"> u</w:t>
      </w:r>
      <w:r w:rsidR="009D6178">
        <w:t>nderfloor heating is a</w:t>
      </w:r>
      <w:r w:rsidR="00C25AE2">
        <w:t xml:space="preserve">n unseen </w:t>
      </w:r>
      <w:r w:rsidR="009D6178">
        <w:t xml:space="preserve">depreciable asset that is </w:t>
      </w:r>
      <w:r>
        <w:t xml:space="preserve">quite often </w:t>
      </w:r>
      <w:r w:rsidR="009D6178">
        <w:t xml:space="preserve">overlooked. </w:t>
      </w:r>
      <w:r w:rsidR="00400A4C">
        <w:t>“</w:t>
      </w:r>
      <w:r>
        <w:t>It would be reasonable to expect a depreciation deduction of around $10,000 for</w:t>
      </w:r>
      <w:r w:rsidR="00400A4C">
        <w:t xml:space="preserve"> underfloor heating for an average-sized house,” </w:t>
      </w:r>
      <w:r>
        <w:t xml:space="preserve">he </w:t>
      </w:r>
      <w:r w:rsidR="003808C4">
        <w:t>said.</w:t>
      </w:r>
    </w:p>
    <w:p w14:paraId="497DD8F4" w14:textId="32B38B33" w:rsidR="009D6178" w:rsidRDefault="009D6178">
      <w:r>
        <w:t xml:space="preserve">Re-stumping of a home is a way to </w:t>
      </w:r>
      <w:r w:rsidR="00BF490B">
        <w:t>rectify settled stumps due to soil movement or damaged wood</w:t>
      </w:r>
      <w:r w:rsidR="00C25AE2">
        <w:t>. “Re-stumping is usually required for older properties and typically produce</w:t>
      </w:r>
      <w:r w:rsidR="00A231A3">
        <w:t>s</w:t>
      </w:r>
      <w:r w:rsidR="00C25AE2">
        <w:t xml:space="preserve"> a </w:t>
      </w:r>
      <w:r w:rsidR="00A231A3">
        <w:t xml:space="preserve">depreciation </w:t>
      </w:r>
      <w:r w:rsidR="00C25AE2">
        <w:t xml:space="preserve">deduction </w:t>
      </w:r>
      <w:r w:rsidR="00A231A3">
        <w:t xml:space="preserve">in the vicinity </w:t>
      </w:r>
      <w:r w:rsidR="00C25AE2">
        <w:t>of $13,</w:t>
      </w:r>
      <w:r w:rsidR="00A231A3">
        <w:t>000</w:t>
      </w:r>
      <w:r w:rsidR="00C25AE2">
        <w:t>,” explained Bradley Beer</w:t>
      </w:r>
      <w:r w:rsidR="00890BE7">
        <w:t>.</w:t>
      </w:r>
    </w:p>
    <w:p w14:paraId="77238969" w14:textId="02239704" w:rsidR="009D6178" w:rsidRDefault="00C25AE2">
      <w:r>
        <w:t>“</w:t>
      </w:r>
      <w:r w:rsidR="003D14D7">
        <w:t>Inconspicuous r</w:t>
      </w:r>
      <w:r w:rsidR="009D6178">
        <w:t>e-wiring</w:t>
      </w:r>
      <w:r>
        <w:t xml:space="preserve"> </w:t>
      </w:r>
      <w:r w:rsidR="001209D8">
        <w:t xml:space="preserve">and re-plumbing </w:t>
      </w:r>
      <w:r>
        <w:t xml:space="preserve">may also be required for an older property, or when a property has been damaged. </w:t>
      </w:r>
      <w:r w:rsidR="00CC4F94">
        <w:t>These items could</w:t>
      </w:r>
      <w:r>
        <w:t xml:space="preserve"> produce a total depreciation deduction of $</w:t>
      </w:r>
      <w:r w:rsidR="001073F0">
        <w:t>16,000</w:t>
      </w:r>
      <w:r>
        <w:t xml:space="preserve">,” </w:t>
      </w:r>
      <w:r w:rsidR="001209D8">
        <w:t>said Bradley Beer</w:t>
      </w:r>
      <w:r w:rsidR="0015310A">
        <w:t xml:space="preserve">. “It’s hidden deductions such as these that can </w:t>
      </w:r>
      <w:r w:rsidR="00A9076F">
        <w:t>produce valuable deductions in older properties</w:t>
      </w:r>
      <w:r w:rsidR="0015310A">
        <w:t>.</w:t>
      </w:r>
      <w:r w:rsidR="000A57E7">
        <w:t xml:space="preserve"> Even if the improvements were completed by a previous owner, the current owner can still claim them.</w:t>
      </w:r>
      <w:r w:rsidR="00180173">
        <w:t>”</w:t>
      </w:r>
    </w:p>
    <w:p w14:paraId="635F824F" w14:textId="09A2943B" w:rsidR="009D6178" w:rsidRDefault="009D6178">
      <w:r>
        <w:t xml:space="preserve"> </w:t>
      </w:r>
      <w:r w:rsidR="00BF490B">
        <w:t>“</w:t>
      </w:r>
      <w:r w:rsidR="009C6BCD">
        <w:t>There are also extra deductions for solar pool heating that’s usually tucked away on the roof. S</w:t>
      </w:r>
      <w:r w:rsidR="00BF490B">
        <w:t xml:space="preserve">olar pool heating </w:t>
      </w:r>
      <w:r w:rsidR="009C6BCD">
        <w:t xml:space="preserve">typically </w:t>
      </w:r>
      <w:r w:rsidR="00BF490B">
        <w:t xml:space="preserve">produces a total depreciation deduction </w:t>
      </w:r>
      <w:r w:rsidR="009C6BCD">
        <w:t xml:space="preserve">of around </w:t>
      </w:r>
      <w:r w:rsidR="00BF490B">
        <w:t>$</w:t>
      </w:r>
      <w:r w:rsidR="00D61228">
        <w:t>7,000</w:t>
      </w:r>
      <w:r w:rsidR="00BF490B">
        <w:t>,” revealed Bradley Beer.</w:t>
      </w:r>
    </w:p>
    <w:p w14:paraId="60D48367" w14:textId="3D1D5102" w:rsidR="001209D8" w:rsidRDefault="004F2995">
      <w:r>
        <w:t>Meanwhile, i</w:t>
      </w:r>
      <w:r w:rsidR="001209D8">
        <w:t>t’s common for a rural property to have its own sewerage treatment assets and tanks</w:t>
      </w:r>
      <w:r w:rsidR="00400A4C">
        <w:t xml:space="preserve">, but these can easily go unnoticed as they are </w:t>
      </w:r>
      <w:r w:rsidR="003808C4">
        <w:t>‘</w:t>
      </w:r>
      <w:r w:rsidR="00400A4C">
        <w:t>out of sight</w:t>
      </w:r>
      <w:r w:rsidR="003808C4">
        <w:t>,</w:t>
      </w:r>
      <w:r w:rsidR="00400A4C">
        <w:t xml:space="preserve"> out of mind</w:t>
      </w:r>
      <w:r w:rsidR="003808C4">
        <w:t>’</w:t>
      </w:r>
      <w:r w:rsidR="001209D8">
        <w:t>. “Underground sewerage treatment tanks and piping can produce a total depreciation deduction of $11,600</w:t>
      </w:r>
      <w:r w:rsidR="009C6BCD">
        <w:t>,</w:t>
      </w:r>
      <w:r w:rsidR="001209D8">
        <w:t>”</w:t>
      </w:r>
      <w:r w:rsidR="009C6BCD">
        <w:t xml:space="preserve"> he said.</w:t>
      </w:r>
      <w:r w:rsidR="001209D8">
        <w:t xml:space="preserve"> </w:t>
      </w:r>
    </w:p>
    <w:p w14:paraId="0AF27F8A" w14:textId="72858F92" w:rsidR="00663DB9" w:rsidRPr="00663DB9" w:rsidRDefault="009C6BCD">
      <w:r>
        <w:t>Mr Beer</w:t>
      </w:r>
      <w:r w:rsidR="00E445D7">
        <w:t xml:space="preserve"> explained that </w:t>
      </w:r>
      <w:r w:rsidR="000861E2" w:rsidRPr="00663DB9">
        <w:t>BMT</w:t>
      </w:r>
      <w:r w:rsidR="00E445D7">
        <w:t>’s</w:t>
      </w:r>
      <w:r w:rsidR="000861E2" w:rsidRPr="00663DB9">
        <w:t xml:space="preserve"> expert staff co</w:t>
      </w:r>
      <w:r w:rsidR="00E445D7">
        <w:t>mplete</w:t>
      </w:r>
      <w:r w:rsidR="000861E2" w:rsidRPr="00663DB9">
        <w:t xml:space="preserve"> physical site inspections to accurately identify </w:t>
      </w:r>
      <w:r>
        <w:t xml:space="preserve">both the </w:t>
      </w:r>
      <w:r w:rsidR="002E1BBD">
        <w:t xml:space="preserve">obvious and obscure </w:t>
      </w:r>
      <w:r w:rsidR="000861E2" w:rsidRPr="00663DB9">
        <w:t>depreciable items</w:t>
      </w:r>
      <w:r w:rsidR="002E1BBD">
        <w:t>.</w:t>
      </w:r>
      <w:r w:rsidR="003B426E" w:rsidRPr="00663DB9">
        <w:t xml:space="preserve"> </w:t>
      </w:r>
    </w:p>
    <w:p w14:paraId="575EA3F5" w14:textId="2FA1E5FF" w:rsidR="00457AA6" w:rsidRDefault="00457AA6">
      <w:r w:rsidRPr="00663DB9">
        <w:t>“Almost every inch of a property is depreciable,” stated Bradley Beer.</w:t>
      </w:r>
      <w:r w:rsidR="007B031C" w:rsidRPr="00663DB9">
        <w:t xml:space="preserve"> </w:t>
      </w:r>
      <w:r w:rsidR="00663DB9" w:rsidRPr="00663DB9">
        <w:t>“But with such a large range, comes numerous complexities. We need to look at the property size and type, unique features</w:t>
      </w:r>
      <w:r w:rsidR="00663DB9">
        <w:t>, construction dates</w:t>
      </w:r>
      <w:r w:rsidR="00663DB9" w:rsidRPr="00663DB9">
        <w:t xml:space="preserve"> and the legislative requirements to ensure depreciation </w:t>
      </w:r>
      <w:r w:rsidR="00663DB9">
        <w:t xml:space="preserve">is claimed accurately. This is why a site inspection is so important.” </w:t>
      </w:r>
    </w:p>
    <w:p w14:paraId="55544CF9" w14:textId="58F10F8A" w:rsidR="00663DB9" w:rsidRPr="00663DB9" w:rsidRDefault="00023DC8">
      <w:r>
        <w:t xml:space="preserve">“My key message to investors is to never rule out depreciation. Throw out the idea that your property might be too old or your haven’t </w:t>
      </w:r>
      <w:r w:rsidR="00FF6B6A">
        <w:t>owned it for long enough – these are simpl</w:t>
      </w:r>
      <w:r w:rsidR="003808C4">
        <w:t>y</w:t>
      </w:r>
      <w:r w:rsidR="00FF6B6A">
        <w:t xml:space="preserve"> myths. And as we can see, thousands of deductions can be found where you can’t see them.”</w:t>
      </w:r>
    </w:p>
    <w:p w14:paraId="5073AB86" w14:textId="77777777" w:rsidR="006A38B3" w:rsidRPr="00663DB9" w:rsidRDefault="006A38B3" w:rsidP="006A38B3">
      <w:pPr>
        <w:jc w:val="center"/>
        <w:rPr>
          <w:rFonts w:cstheme="minorHAnsi"/>
          <w:b/>
          <w:bCs/>
        </w:rPr>
      </w:pPr>
      <w:r w:rsidRPr="00663DB9">
        <w:rPr>
          <w:rFonts w:cstheme="minorHAnsi"/>
          <w:b/>
          <w:bCs/>
        </w:rPr>
        <w:t>*ENDS*</w:t>
      </w:r>
    </w:p>
    <w:p w14:paraId="36F1F99E" w14:textId="7C01F80A" w:rsidR="00D332F2" w:rsidRPr="00FF6B6A" w:rsidRDefault="006A38B3" w:rsidP="00FF6B6A">
      <w:pPr>
        <w:spacing w:before="160"/>
        <w:jc w:val="both"/>
      </w:pPr>
      <w:r w:rsidRPr="00663DB9">
        <w:rPr>
          <w:b/>
          <w:bCs/>
        </w:rPr>
        <w:t>Media contact:</w:t>
      </w:r>
      <w:r w:rsidRPr="00663DB9">
        <w:t xml:space="preserve"> Lauren Howarth, 0448 507 979 or </w:t>
      </w:r>
      <w:hyperlink r:id="rId6" w:history="1">
        <w:r w:rsidRPr="00663DB9">
          <w:rPr>
            <w:rStyle w:val="Hyperlink"/>
          </w:rPr>
          <w:t>lauren.howarth@bmtqs.com.au</w:t>
        </w:r>
      </w:hyperlink>
      <w:r w:rsidRPr="00663DB9">
        <w:t xml:space="preserve"> </w:t>
      </w:r>
    </w:p>
    <w:sectPr w:rsidR="00D332F2" w:rsidRPr="00FF6B6A" w:rsidSect="00CC778E">
      <w:headerReference w:type="default" r:id="rId7"/>
      <w:pgSz w:w="11906" w:h="16838"/>
      <w:pgMar w:top="1440" w:right="1133"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AEA7A" w14:textId="77777777" w:rsidR="0006266E" w:rsidRDefault="0006266E" w:rsidP="007B031C">
      <w:pPr>
        <w:spacing w:after="0" w:line="240" w:lineRule="auto"/>
      </w:pPr>
      <w:r>
        <w:separator/>
      </w:r>
    </w:p>
  </w:endnote>
  <w:endnote w:type="continuationSeparator" w:id="0">
    <w:p w14:paraId="519CBAFA" w14:textId="77777777" w:rsidR="0006266E" w:rsidRDefault="0006266E" w:rsidP="007B0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6B882" w14:textId="77777777" w:rsidR="0006266E" w:rsidRDefault="0006266E" w:rsidP="007B031C">
      <w:pPr>
        <w:spacing w:after="0" w:line="240" w:lineRule="auto"/>
      </w:pPr>
      <w:r>
        <w:separator/>
      </w:r>
    </w:p>
  </w:footnote>
  <w:footnote w:type="continuationSeparator" w:id="0">
    <w:p w14:paraId="00559ABF" w14:textId="77777777" w:rsidR="0006266E" w:rsidRDefault="0006266E" w:rsidP="007B0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4251" w14:textId="15148071" w:rsidR="007B031C" w:rsidRDefault="007B031C">
    <w:pPr>
      <w:pStyle w:val="Header"/>
    </w:pPr>
    <w:r>
      <w:rPr>
        <w:noProof/>
      </w:rPr>
      <w:drawing>
        <wp:anchor distT="0" distB="0" distL="114300" distR="114300" simplePos="0" relativeHeight="251659264" behindDoc="1" locked="0" layoutInCell="1" allowOverlap="1" wp14:anchorId="4E902B84" wp14:editId="0BE25733">
          <wp:simplePos x="0" y="0"/>
          <wp:positionH relativeFrom="column">
            <wp:posOffset>0</wp:posOffset>
          </wp:positionH>
          <wp:positionV relativeFrom="paragraph">
            <wp:posOffset>-635</wp:posOffset>
          </wp:positionV>
          <wp:extent cx="2103871" cy="435428"/>
          <wp:effectExtent l="0" t="0" r="0" b="0"/>
          <wp:wrapNone/>
          <wp:docPr id="4" name="Picture 27" descr="BMT Tax Depreci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BMT Tax Depreciation LOGO"/>
                  <pic:cNvPicPr>
                    <a:picLocks/>
                  </pic:cNvPicPr>
                </pic:nvPicPr>
                <pic:blipFill rotWithShape="1">
                  <a:blip r:embed="rId1">
                    <a:extLst>
                      <a:ext uri="{28A0092B-C50C-407E-A947-70E740481C1C}">
                        <a14:useLocalDpi xmlns:a14="http://schemas.microsoft.com/office/drawing/2010/main" val="0"/>
                      </a:ext>
                    </a:extLst>
                  </a:blip>
                  <a:srcRect l="5758" t="12926" r="6495" b="11401"/>
                  <a:stretch/>
                </pic:blipFill>
                <pic:spPr bwMode="auto">
                  <a:xfrm>
                    <a:off x="0" y="0"/>
                    <a:ext cx="2103871" cy="4354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DB"/>
    <w:rsid w:val="00023DC8"/>
    <w:rsid w:val="000604A4"/>
    <w:rsid w:val="0006266E"/>
    <w:rsid w:val="000861E2"/>
    <w:rsid w:val="000A57E7"/>
    <w:rsid w:val="000E691B"/>
    <w:rsid w:val="001073F0"/>
    <w:rsid w:val="001209D8"/>
    <w:rsid w:val="0015310A"/>
    <w:rsid w:val="00180173"/>
    <w:rsid w:val="001857FB"/>
    <w:rsid w:val="00185D06"/>
    <w:rsid w:val="00201D01"/>
    <w:rsid w:val="00262DA9"/>
    <w:rsid w:val="0028383B"/>
    <w:rsid w:val="00295A77"/>
    <w:rsid w:val="002D45C8"/>
    <w:rsid w:val="002E1BBD"/>
    <w:rsid w:val="00364B0D"/>
    <w:rsid w:val="003808C4"/>
    <w:rsid w:val="0038539C"/>
    <w:rsid w:val="003B426E"/>
    <w:rsid w:val="003B54A4"/>
    <w:rsid w:val="003D14D7"/>
    <w:rsid w:val="00400A4C"/>
    <w:rsid w:val="004021E9"/>
    <w:rsid w:val="00426166"/>
    <w:rsid w:val="00457AA6"/>
    <w:rsid w:val="004936FB"/>
    <w:rsid w:val="004C2B99"/>
    <w:rsid w:val="004C3FE8"/>
    <w:rsid w:val="004F2995"/>
    <w:rsid w:val="005038B5"/>
    <w:rsid w:val="00511802"/>
    <w:rsid w:val="005B0413"/>
    <w:rsid w:val="00663DB9"/>
    <w:rsid w:val="006713D9"/>
    <w:rsid w:val="006836EA"/>
    <w:rsid w:val="00686614"/>
    <w:rsid w:val="006A38B3"/>
    <w:rsid w:val="006C6B75"/>
    <w:rsid w:val="00716A89"/>
    <w:rsid w:val="00771EB7"/>
    <w:rsid w:val="007B031C"/>
    <w:rsid w:val="008105F8"/>
    <w:rsid w:val="00814BD8"/>
    <w:rsid w:val="008308EE"/>
    <w:rsid w:val="00831F58"/>
    <w:rsid w:val="008640DE"/>
    <w:rsid w:val="008726D4"/>
    <w:rsid w:val="00890BE7"/>
    <w:rsid w:val="008E02FF"/>
    <w:rsid w:val="00913BC6"/>
    <w:rsid w:val="00983EF9"/>
    <w:rsid w:val="009A097B"/>
    <w:rsid w:val="009A7BD1"/>
    <w:rsid w:val="009C6BCD"/>
    <w:rsid w:val="009D6178"/>
    <w:rsid w:val="00A11CC2"/>
    <w:rsid w:val="00A231A3"/>
    <w:rsid w:val="00A33BCB"/>
    <w:rsid w:val="00A66658"/>
    <w:rsid w:val="00A9076F"/>
    <w:rsid w:val="00B1086F"/>
    <w:rsid w:val="00B16B0C"/>
    <w:rsid w:val="00B25C6E"/>
    <w:rsid w:val="00B33110"/>
    <w:rsid w:val="00B73EDB"/>
    <w:rsid w:val="00B90A92"/>
    <w:rsid w:val="00BD0131"/>
    <w:rsid w:val="00BF490B"/>
    <w:rsid w:val="00C25AE2"/>
    <w:rsid w:val="00C9778F"/>
    <w:rsid w:val="00CC4F94"/>
    <w:rsid w:val="00CC778E"/>
    <w:rsid w:val="00CE3C2F"/>
    <w:rsid w:val="00D11B85"/>
    <w:rsid w:val="00D332F2"/>
    <w:rsid w:val="00D5086F"/>
    <w:rsid w:val="00D61228"/>
    <w:rsid w:val="00D72DB0"/>
    <w:rsid w:val="00DD7B4D"/>
    <w:rsid w:val="00E02D2F"/>
    <w:rsid w:val="00E1721A"/>
    <w:rsid w:val="00E445D7"/>
    <w:rsid w:val="00E63C92"/>
    <w:rsid w:val="00E82835"/>
    <w:rsid w:val="00ED0C3B"/>
    <w:rsid w:val="00F01CBA"/>
    <w:rsid w:val="00FA03D8"/>
    <w:rsid w:val="00FF6B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363F6"/>
  <w15:chartTrackingRefBased/>
  <w15:docId w15:val="{252EFE52-09F3-4368-AD9D-60938A65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6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03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31C"/>
  </w:style>
  <w:style w:type="paragraph" w:styleId="Footer">
    <w:name w:val="footer"/>
    <w:basedOn w:val="Normal"/>
    <w:link w:val="FooterChar"/>
    <w:uiPriority w:val="99"/>
    <w:unhideWhenUsed/>
    <w:rsid w:val="007B03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31C"/>
  </w:style>
  <w:style w:type="character" w:styleId="Hyperlink">
    <w:name w:val="Hyperlink"/>
    <w:basedOn w:val="DefaultParagraphFont"/>
    <w:uiPriority w:val="99"/>
    <w:unhideWhenUsed/>
    <w:rsid w:val="006A38B3"/>
    <w:rPr>
      <w:color w:val="0000FF"/>
      <w:u w:val="single"/>
    </w:rPr>
  </w:style>
  <w:style w:type="character" w:styleId="CommentReference">
    <w:name w:val="annotation reference"/>
    <w:basedOn w:val="DefaultParagraphFont"/>
    <w:uiPriority w:val="99"/>
    <w:semiHidden/>
    <w:unhideWhenUsed/>
    <w:rsid w:val="001073F0"/>
    <w:rPr>
      <w:sz w:val="16"/>
      <w:szCs w:val="16"/>
    </w:rPr>
  </w:style>
  <w:style w:type="paragraph" w:styleId="CommentText">
    <w:name w:val="annotation text"/>
    <w:basedOn w:val="Normal"/>
    <w:link w:val="CommentTextChar"/>
    <w:uiPriority w:val="99"/>
    <w:unhideWhenUsed/>
    <w:rsid w:val="001073F0"/>
    <w:pPr>
      <w:spacing w:line="240" w:lineRule="auto"/>
    </w:pPr>
    <w:rPr>
      <w:sz w:val="20"/>
      <w:szCs w:val="20"/>
    </w:rPr>
  </w:style>
  <w:style w:type="character" w:customStyle="1" w:styleId="CommentTextChar">
    <w:name w:val="Comment Text Char"/>
    <w:basedOn w:val="DefaultParagraphFont"/>
    <w:link w:val="CommentText"/>
    <w:uiPriority w:val="99"/>
    <w:rsid w:val="001073F0"/>
    <w:rPr>
      <w:sz w:val="20"/>
      <w:szCs w:val="20"/>
    </w:rPr>
  </w:style>
  <w:style w:type="paragraph" w:styleId="CommentSubject">
    <w:name w:val="annotation subject"/>
    <w:basedOn w:val="CommentText"/>
    <w:next w:val="CommentText"/>
    <w:link w:val="CommentSubjectChar"/>
    <w:uiPriority w:val="99"/>
    <w:semiHidden/>
    <w:unhideWhenUsed/>
    <w:rsid w:val="001073F0"/>
    <w:rPr>
      <w:b/>
      <w:bCs/>
    </w:rPr>
  </w:style>
  <w:style w:type="character" w:customStyle="1" w:styleId="CommentSubjectChar">
    <w:name w:val="Comment Subject Char"/>
    <w:basedOn w:val="CommentTextChar"/>
    <w:link w:val="CommentSubject"/>
    <w:uiPriority w:val="99"/>
    <w:semiHidden/>
    <w:rsid w:val="001073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0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uren.howarth@bmtqs.com.a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McInerney</dc:creator>
  <cp:keywords/>
  <dc:description/>
  <cp:lastModifiedBy>Lauren Howarth</cp:lastModifiedBy>
  <cp:revision>5</cp:revision>
  <cp:lastPrinted>2021-05-03T00:23:00Z</cp:lastPrinted>
  <dcterms:created xsi:type="dcterms:W3CDTF">2021-05-03T00:10:00Z</dcterms:created>
  <dcterms:modified xsi:type="dcterms:W3CDTF">2021-05-03T00:25:00Z</dcterms:modified>
</cp:coreProperties>
</file>